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Arial" w:cs="Arial" w:eastAsia="Arial" w:hAnsi="Arial"/>
          <w:b w:val="1"/>
          <w:color w:val="632423"/>
          <w:sz w:val="24"/>
          <w:szCs w:val="24"/>
          <w:rtl w:val="0"/>
        </w:rPr>
        <w:t xml:space="preserve">Lettre d'Info N°15</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17365d"/>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Cher(e)s Collègues, Cher(e)s Ami(e)s,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Nous vous adressons nos vœux les meilleurs pour 2014 à vous et à ceux qui vous sont chers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Des nouvelles de la préparation de la phase 2 de notre Projet, l’expérimentation.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Fonts w:ascii="Arial" w:cs="Arial" w:eastAsia="Arial" w:hAnsi="Arial"/>
          <w:color w:val="000090"/>
          <w:rtl w:val="0"/>
        </w:rPr>
        <w:t xml:space="preserve">Un séminaire national a été organisé la semaine dernière en Tunisie, à l’initiative de Ahmed Maherzi, Co-Président de notre Projet et Doyen de la Faculté de Médecine de Tunis et des  Doyens des Facultés de Médecine de Monastir, Sfax et Sousse. Le séminaire a été ouvert le mercredi 8, il a regroupé une quarantaine de collègues des quatre facultés. Six membres du Secrétariat Exécutif étaient aussi présents. Une table ronde nationale, organisée par la Conférence des Doyens le jeudi après midi, dont le thème était « Approche territoriale de la formation et de la recherche : quel projet pour la Tunisie ? » a connu un franc succès.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bookmarkStart w:colFirst="0" w:colLast="0" w:name="_30j0zll" w:id="1"/>
      <w:bookmarkEnd w:id="1"/>
      <w:r w:rsidDel="00000000" w:rsidR="00000000" w:rsidRPr="00000000">
        <w:rPr>
          <w:rFonts w:ascii="Arial" w:cs="Arial" w:eastAsia="Arial" w:hAnsi="Arial"/>
          <w:color w:val="000090"/>
          <w:rtl w:val="0"/>
        </w:rPr>
        <w:t xml:space="preserve">Les Facultés de Médecine de Tunisie ont choisi la thématique « Contrat Faculté - Territoire » pour l’expérimentation, située aujourd’hui dans une problématique nationale d’actualité : la création de « campus délocalisés » pour la formation médicale, voir de formations en communauté. Après une présentation de notre Projet, puis de la problématique Tunisienne, et de la mise perspective avec les principes de responsabilité sociale, les Prs. Réjean Duplain, Paul Grand’Maison et Mauril Gaudreault ont présenté leur expérience au Québec : « La formation médicale délocalisée : une réponse universitaire responsable aux besoins professionnels de santé et aux besoins de soins dans les régions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Une série de travaux en ateliers ont été conduits. Ils ont porté sur la préparation de la phase 2, sur la thématique « Contrat Faculté - Territoire », notamment à l’identification d’axes et d’objectifs stratégiques ainsi que leur justification, la déclinaison d’actions et leur répartition selon le modèle CPU et à l’identification d’indicateurs. Une « répétition générale » de nos travaux lors de la prochaine réunion de notre Comité de Pilotage à Sousse, du 20 au 23 mars prochain.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Afin d’aider Ali Mitaroui et son équipe à la préparation de notre rencontre (</w:t>
      </w:r>
      <w:hyperlink r:id="rId5">
        <w:r w:rsidDel="00000000" w:rsidR="00000000" w:rsidRPr="00000000">
          <w:rPr>
            <w:rFonts w:ascii="Arial" w:cs="Arial" w:eastAsia="Arial" w:hAnsi="Arial"/>
            <w:color w:val="1155cc"/>
            <w:u w:val="single"/>
            <w:rtl w:val="0"/>
          </w:rPr>
          <w:t xml:space="preserve">ali.mtiraoui@gmail.com</w:t>
        </w:r>
      </w:hyperlink>
      <w:r w:rsidDel="00000000" w:rsidR="00000000" w:rsidRPr="00000000">
        <w:rPr>
          <w:rFonts w:ascii="Arial" w:cs="Arial" w:eastAsia="Arial" w:hAnsi="Arial"/>
          <w:color w:val="000090"/>
          <w:rtl w:val="0"/>
        </w:rPr>
        <w:t xml:space="preserve">), auriez-vous l’amabilité de nous faire savoir si vous avez l’intention de participer à la réunion du COPIL à Sousse ? Nous vous adresserons plus d’informations dans une prochaine Lettre.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Les membres du Secrétariat Exécutif ont profité de la rencontre de Tunis pour avoir une réunion de travail le vendredi. Nous avons essentiellement travaillé sur la préparation de la réunion du Copil à Sousse.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color w:val="000090"/>
          <w:rtl w:val="0"/>
        </w:rPr>
        <w:t xml:space="preserve">Dans l’immédiat, comme annoncé dans la Lettre d’Info n°14, nous vous demandons d’ici le 31 janvier de bien vouloir nous retourner la thématique choisie par votre Faculté pour l’expérimentation.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Pour mémoire, les thématiques proposées sont : - contrat Faculté-Territoire ; - première ligne de santé ; - adaptation de la formation ; - choix et finalité des spécialités ; - au choix : interdisciplinarité, populations vulnérables et/ou mal desservies, ou recherche (orientée vers les besoins de santé) ; - enfin, une thématique libre (laissé au choix de la faculté).</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Au plaisir de vous lire prochainement.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Nous vous adressons nos amicales salutations.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Le Secrétariat Exécutif.</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li.mtiraoui@gmail.com" TargetMode="External"/></Relationships>
</file>